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right"/>
        <w:rPr>
          <w:rFonts w:hint="default"/>
          <w:lang w:val="en-US"/>
        </w:rPr>
      </w:pPr>
      <w:r>
        <w:rPr>
          <w:rFonts w:ascii="仿宋_GB2312" w:hAnsi="宋体" w:eastAsia="仿宋_GB2312" w:cs="仿宋_GB2312"/>
          <w:color w:val="000000"/>
          <w:kern w:val="0"/>
          <w:sz w:val="31"/>
          <w:szCs w:val="31"/>
          <w:lang w:val="en-US" w:eastAsia="zh-CN" w:bidi="ar"/>
        </w:rPr>
        <w:t>DSYD</w:t>
      </w:r>
      <w:r>
        <w:rPr>
          <w:rFonts w:hint="eastAsia" w:ascii="仿宋_GB2312" w:hAnsi="宋体" w:eastAsia="仿宋_GB2312" w:cs="仿宋_GB2312"/>
          <w:color w:val="000000"/>
          <w:kern w:val="0"/>
          <w:sz w:val="31"/>
          <w:szCs w:val="31"/>
          <w:lang w:val="en-US" w:eastAsia="zh-CN" w:bidi="ar"/>
        </w:rPr>
        <w:t>16</w:t>
      </w:r>
      <w:r>
        <w:rPr>
          <w:rFonts w:ascii="仿宋_GB2312" w:hAnsi="宋体" w:eastAsia="仿宋_GB2312" w:cs="仿宋_GB2312"/>
          <w:color w:val="000000"/>
          <w:kern w:val="0"/>
          <w:sz w:val="31"/>
          <w:szCs w:val="31"/>
          <w:lang w:val="en-US" w:eastAsia="zh-CN" w:bidi="ar"/>
        </w:rPr>
        <w:t>-2022-00</w:t>
      </w:r>
      <w:r>
        <w:rPr>
          <w:rFonts w:hint="eastAsia" w:ascii="仿宋_GB2312" w:hAnsi="宋体" w:eastAsia="仿宋_GB2312" w:cs="仿宋_GB2312"/>
          <w:color w:val="000000"/>
          <w:kern w:val="0"/>
          <w:sz w:val="31"/>
          <w:szCs w:val="31"/>
          <w:lang w:val="en-US" w:eastAsia="zh-CN" w:bidi="ar"/>
        </w:rPr>
        <w:t>01</w:t>
      </w:r>
    </w:p>
    <w:tbl>
      <w:tblPr>
        <w:tblStyle w:val="7"/>
        <w:tblpPr w:leftFromText="180" w:rightFromText="180" w:vertAnchor="page" w:horzAnchor="page" w:tblpX="1720" w:tblpY="2688"/>
        <w:tblOverlap w:val="never"/>
        <w:tblW w:w="8928" w:type="dxa"/>
        <w:tblInd w:w="0" w:type="dxa"/>
        <w:tblLayout w:type="fixed"/>
        <w:tblCellMar>
          <w:top w:w="0" w:type="dxa"/>
          <w:left w:w="108" w:type="dxa"/>
          <w:bottom w:w="0" w:type="dxa"/>
          <w:right w:w="108" w:type="dxa"/>
        </w:tblCellMar>
      </w:tblPr>
      <w:tblGrid>
        <w:gridCol w:w="7308"/>
        <w:gridCol w:w="1620"/>
      </w:tblGrid>
      <w:tr>
        <w:tblPrEx>
          <w:tblCellMar>
            <w:top w:w="0" w:type="dxa"/>
            <w:left w:w="108" w:type="dxa"/>
            <w:bottom w:w="0" w:type="dxa"/>
            <w:right w:w="108" w:type="dxa"/>
          </w:tblCellMar>
        </w:tblPrEx>
        <w:trPr>
          <w:cantSplit/>
          <w:trHeight w:val="907" w:hRule="atLeast"/>
        </w:trPr>
        <w:tc>
          <w:tcPr>
            <w:tcW w:w="7308" w:type="dxa"/>
            <w:vAlign w:val="center"/>
          </w:tcPr>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hint="eastAsia" w:ascii="方正小标宋_GBK" w:hAnsi="方正小标宋_GBK" w:eastAsia="方正小标宋_GBK" w:cs="方正小标宋_GBK"/>
                <w:color w:val="FF0000"/>
                <w:w w:val="66"/>
                <w:sz w:val="72"/>
                <w:szCs w:val="72"/>
                <w:lang w:eastAsia="zh-CN"/>
              </w:rPr>
            </w:pPr>
            <w:r>
              <w:rPr>
                <w:rFonts w:hint="eastAsia" w:ascii="方正小标宋_GBK" w:hAnsi="方正小标宋_GBK" w:eastAsia="方正小标宋_GBK" w:cs="方正小标宋_GBK"/>
                <w:color w:val="FF0000"/>
                <w:w w:val="70"/>
                <w:sz w:val="72"/>
                <w:szCs w:val="72"/>
              </w:rPr>
              <w:t>绍兴市</w:t>
            </w:r>
            <w:r>
              <w:rPr>
                <w:rFonts w:hint="eastAsia" w:ascii="方正小标宋_GBK" w:hAnsi="方正小标宋_GBK" w:eastAsia="方正小标宋_GBK" w:cs="方正小标宋_GBK"/>
                <w:color w:val="FF0000"/>
                <w:w w:val="70"/>
                <w:sz w:val="72"/>
                <w:szCs w:val="72"/>
                <w:lang w:val="en-US" w:eastAsia="zh-CN"/>
              </w:rPr>
              <w:t>上虞</w:t>
            </w:r>
            <w:r>
              <w:rPr>
                <w:rFonts w:hint="eastAsia" w:ascii="方正小标宋_GBK" w:hAnsi="方正小标宋_GBK" w:eastAsia="方正小标宋_GBK" w:cs="方正小标宋_GBK"/>
                <w:color w:val="FF0000"/>
                <w:w w:val="70"/>
                <w:sz w:val="72"/>
                <w:szCs w:val="72"/>
              </w:rPr>
              <w:t>区综合</w:t>
            </w:r>
            <w:r>
              <w:rPr>
                <w:rFonts w:hint="eastAsia" w:ascii="方正小标宋_GBK" w:hAnsi="方正小标宋_GBK" w:eastAsia="方正小标宋_GBK" w:cs="方正小标宋_GBK"/>
                <w:color w:val="FF0000"/>
                <w:w w:val="70"/>
                <w:sz w:val="72"/>
                <w:szCs w:val="72"/>
                <w:lang w:val="en-US" w:eastAsia="zh-CN"/>
              </w:rPr>
              <w:t>行政</w:t>
            </w:r>
            <w:r>
              <w:rPr>
                <w:rFonts w:hint="eastAsia" w:ascii="方正小标宋_GBK" w:hAnsi="方正小标宋_GBK" w:eastAsia="方正小标宋_GBK" w:cs="方正小标宋_GBK"/>
                <w:color w:val="FF0000"/>
                <w:w w:val="70"/>
                <w:sz w:val="72"/>
                <w:szCs w:val="72"/>
              </w:rPr>
              <w:t>执法局</w:t>
            </w:r>
          </w:p>
        </w:tc>
        <w:tc>
          <w:tcPr>
            <w:tcW w:w="1620" w:type="dxa"/>
            <w:vMerge w:val="restart"/>
            <w:vAlign w:val="center"/>
          </w:tcPr>
          <w:p>
            <w:pPr>
              <w:jc w:val="distribute"/>
              <w:rPr>
                <w:rFonts w:hint="eastAsia" w:ascii="方正小标宋_GBK" w:hAnsi="方正小标宋_GBK" w:eastAsia="方正小标宋_GBK" w:cs="方正小标宋_GBK"/>
                <w:color w:val="FF0000"/>
                <w:w w:val="75"/>
                <w:sz w:val="90"/>
                <w:szCs w:val="90"/>
              </w:rPr>
            </w:pPr>
            <w:r>
              <w:rPr>
                <w:rFonts w:hint="eastAsia" w:ascii="方正小标宋_GBK" w:hAnsi="方正小标宋_GBK" w:eastAsia="方正小标宋_GBK" w:cs="方正小标宋_GBK"/>
                <w:color w:val="FF0000"/>
                <w:w w:val="75"/>
                <w:sz w:val="90"/>
                <w:szCs w:val="90"/>
              </w:rPr>
              <w:t>文件</w:t>
            </w:r>
          </w:p>
        </w:tc>
      </w:tr>
      <w:tr>
        <w:tblPrEx>
          <w:tblCellMar>
            <w:top w:w="0" w:type="dxa"/>
            <w:left w:w="108" w:type="dxa"/>
            <w:bottom w:w="0" w:type="dxa"/>
            <w:right w:w="108" w:type="dxa"/>
          </w:tblCellMar>
        </w:tblPrEx>
        <w:trPr>
          <w:cantSplit/>
          <w:trHeight w:val="907" w:hRule="atLeast"/>
        </w:trPr>
        <w:tc>
          <w:tcPr>
            <w:tcW w:w="7308" w:type="dxa"/>
            <w:vAlign w:val="center"/>
          </w:tcPr>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hint="eastAsia" w:ascii="方正小标宋_GBK" w:hAnsi="方正小标宋_GBK" w:eastAsia="方正小标宋_GBK" w:cs="方正小标宋_GBK"/>
                <w:color w:val="FF0000"/>
                <w:w w:val="70"/>
                <w:sz w:val="72"/>
                <w:szCs w:val="72"/>
              </w:rPr>
            </w:pPr>
            <w:r>
              <w:rPr>
                <w:rFonts w:hint="eastAsia" w:ascii="方正小标宋_GBK" w:hAnsi="方正小标宋_GBK" w:eastAsia="方正小标宋_GBK" w:cs="方正小标宋_GBK"/>
                <w:color w:val="FF0000"/>
                <w:w w:val="70"/>
                <w:sz w:val="72"/>
                <w:szCs w:val="72"/>
              </w:rPr>
              <w:t>绍兴市</w:t>
            </w:r>
            <w:r>
              <w:rPr>
                <w:rFonts w:hint="eastAsia" w:ascii="方正小标宋_GBK" w:hAnsi="方正小标宋_GBK" w:eastAsia="方正小标宋_GBK" w:cs="方正小标宋_GBK"/>
                <w:color w:val="FF0000"/>
                <w:w w:val="70"/>
                <w:sz w:val="72"/>
                <w:szCs w:val="72"/>
                <w:lang w:val="en-US" w:eastAsia="zh-CN"/>
              </w:rPr>
              <w:t>上虞区财政</w:t>
            </w:r>
            <w:r>
              <w:rPr>
                <w:rFonts w:hint="eastAsia" w:ascii="方正小标宋_GBK" w:hAnsi="方正小标宋_GBK" w:eastAsia="方正小标宋_GBK" w:cs="方正小标宋_GBK"/>
                <w:color w:val="FF0000"/>
                <w:w w:val="70"/>
                <w:sz w:val="72"/>
                <w:szCs w:val="72"/>
              </w:rPr>
              <w:t>局</w:t>
            </w:r>
          </w:p>
        </w:tc>
        <w:tc>
          <w:tcPr>
            <w:tcW w:w="1620" w:type="dxa"/>
            <w:vMerge w:val="continue"/>
            <w:vAlign w:val="center"/>
          </w:tcPr>
          <w:p>
            <w:pPr>
              <w:widowControl/>
              <w:jc w:val="left"/>
              <w:rPr>
                <w:rFonts w:hint="eastAsia" w:ascii="方正小标宋_GBK" w:hAnsi="方正小标宋_GBK" w:eastAsia="方正小标宋_GBK" w:cs="方正小标宋_GBK"/>
                <w:b/>
                <w:color w:val="FF0000"/>
                <w:sz w:val="80"/>
              </w:rPr>
            </w:pPr>
          </w:p>
        </w:tc>
      </w:tr>
      <w:tr>
        <w:tblPrEx>
          <w:tblCellMar>
            <w:top w:w="0" w:type="dxa"/>
            <w:left w:w="108" w:type="dxa"/>
            <w:bottom w:w="0" w:type="dxa"/>
            <w:right w:w="108" w:type="dxa"/>
          </w:tblCellMar>
        </w:tblPrEx>
        <w:trPr>
          <w:cantSplit/>
          <w:trHeight w:val="907" w:hRule="atLeast"/>
        </w:trPr>
        <w:tc>
          <w:tcPr>
            <w:tcW w:w="7308" w:type="dxa"/>
            <w:vAlign w:val="center"/>
          </w:tcPr>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hint="eastAsia" w:ascii="方正小标宋_GBK" w:hAnsi="方正小标宋_GBK" w:eastAsia="方正小标宋_GBK" w:cs="方正小标宋_GBK"/>
                <w:color w:val="FF0000"/>
                <w:w w:val="70"/>
                <w:sz w:val="72"/>
                <w:szCs w:val="72"/>
              </w:rPr>
            </w:pPr>
            <w:r>
              <w:rPr>
                <w:rFonts w:hint="eastAsia" w:ascii="方正小标宋_GBK" w:hAnsi="方正小标宋_GBK" w:eastAsia="方正小标宋_GBK" w:cs="方正小标宋_GBK"/>
                <w:color w:val="FF0000"/>
                <w:spacing w:val="-20"/>
                <w:w w:val="70"/>
                <w:sz w:val="72"/>
                <w:szCs w:val="72"/>
              </w:rPr>
              <w:t>绍兴市自然资源和规划局上虞分局</w:t>
            </w:r>
          </w:p>
        </w:tc>
        <w:tc>
          <w:tcPr>
            <w:tcW w:w="1620" w:type="dxa"/>
            <w:vMerge w:val="continue"/>
            <w:vAlign w:val="center"/>
          </w:tcPr>
          <w:p>
            <w:pPr>
              <w:widowControl/>
              <w:jc w:val="left"/>
              <w:rPr>
                <w:rFonts w:hint="eastAsia" w:ascii="方正小标宋_GBK" w:hAnsi="方正小标宋_GBK" w:eastAsia="方正小标宋_GBK" w:cs="方正小标宋_GBK"/>
                <w:b/>
                <w:color w:val="FF0000"/>
                <w:sz w:val="80"/>
              </w:rPr>
            </w:pPr>
          </w:p>
        </w:tc>
      </w:tr>
      <w:tr>
        <w:tblPrEx>
          <w:tblCellMar>
            <w:top w:w="0" w:type="dxa"/>
            <w:left w:w="108" w:type="dxa"/>
            <w:bottom w:w="0" w:type="dxa"/>
            <w:right w:w="108" w:type="dxa"/>
          </w:tblCellMar>
        </w:tblPrEx>
        <w:trPr>
          <w:cantSplit/>
          <w:trHeight w:val="907" w:hRule="atLeast"/>
        </w:trPr>
        <w:tc>
          <w:tcPr>
            <w:tcW w:w="7308" w:type="dxa"/>
            <w:vAlign w:val="center"/>
          </w:tcPr>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hint="eastAsia" w:ascii="方正小标宋_GBK" w:hAnsi="方正小标宋_GBK" w:eastAsia="方正小标宋_GBK" w:cs="方正小标宋_GBK"/>
                <w:color w:val="FF0000"/>
                <w:w w:val="68"/>
                <w:sz w:val="72"/>
                <w:szCs w:val="72"/>
              </w:rPr>
            </w:pPr>
            <w:r>
              <w:rPr>
                <w:rFonts w:hint="eastAsia" w:ascii="方正小标宋_GBK" w:hAnsi="方正小标宋_GBK" w:eastAsia="方正小标宋_GBK" w:cs="方正小标宋_GBK"/>
                <w:color w:val="FF0000"/>
                <w:w w:val="68"/>
                <w:sz w:val="72"/>
                <w:szCs w:val="72"/>
              </w:rPr>
              <w:t>绍兴市上虞区住房和城乡建设局</w:t>
            </w:r>
          </w:p>
        </w:tc>
        <w:tc>
          <w:tcPr>
            <w:tcW w:w="1620" w:type="dxa"/>
            <w:vMerge w:val="continue"/>
            <w:vAlign w:val="center"/>
          </w:tcPr>
          <w:p>
            <w:pPr>
              <w:widowControl/>
              <w:jc w:val="left"/>
              <w:rPr>
                <w:rFonts w:hint="eastAsia" w:ascii="方正小标宋_GBK" w:hAnsi="方正小标宋_GBK" w:eastAsia="方正小标宋_GBK" w:cs="方正小标宋_GBK"/>
                <w:b/>
                <w:color w:val="FF0000"/>
                <w:sz w:val="80"/>
              </w:rPr>
            </w:pPr>
          </w:p>
        </w:tc>
      </w:tr>
    </w:tbl>
    <w:p>
      <w:pPr>
        <w:tabs>
          <w:tab w:val="left" w:pos="5617"/>
        </w:tabs>
        <w:bidi w:val="0"/>
        <w:jc w:val="left"/>
        <w:rPr>
          <w:rFonts w:hint="eastAsia" w:ascii="Calibri" w:hAnsi="Calibri" w:eastAsia="宋体" w:cs="Times New Roman"/>
          <w:lang w:val="en-US" w:eastAsia="zh-CN"/>
        </w:rPr>
      </w:pPr>
    </w:p>
    <w:p>
      <w:pPr>
        <w:widowControl w:val="0"/>
        <w:spacing w:before="10" w:after="1"/>
        <w:jc w:val="center"/>
        <w:rPr>
          <w:rFonts w:ascii="仿宋_GB2312" w:hAnsi="仿宋_GB2312" w:eastAsia="仿宋_GB2312" w:cs="仿宋_GB2312"/>
          <w:kern w:val="0"/>
          <w:sz w:val="32"/>
          <w:szCs w:val="32"/>
          <w:lang w:val="zh-CN" w:eastAsia="zh-CN" w:bidi="zh-CN"/>
        </w:rPr>
      </w:pPr>
    </w:p>
    <w:p>
      <w:pPr>
        <w:widowControl w:val="0"/>
        <w:spacing w:before="10" w:after="1"/>
        <w:jc w:val="center"/>
        <w:rPr>
          <w:rFonts w:ascii="仿宋_GB2312" w:hAnsi="仿宋_GB2312" w:eastAsia="仿宋_GB2312" w:cs="仿宋_GB2312"/>
          <w:kern w:val="2"/>
          <w:sz w:val="16"/>
          <w:szCs w:val="32"/>
          <w:lang w:val="zh-CN" w:eastAsia="zh-CN" w:bidi="zh-CN"/>
        </w:rPr>
      </w:pPr>
      <w:r>
        <w:rPr>
          <w:rFonts w:ascii="仿宋_GB2312" w:hAnsi="仿宋_GB2312" w:eastAsia="仿宋_GB2312" w:cs="仿宋_GB2312"/>
          <w:kern w:val="0"/>
          <w:sz w:val="32"/>
          <w:szCs w:val="32"/>
          <w:lang w:val="zh-CN" w:eastAsia="zh-CN" w:bidi="zh-CN"/>
        </w:rPr>
        <w:t>虞</w:t>
      </w:r>
      <w:r>
        <w:rPr>
          <w:rFonts w:hint="eastAsia" w:ascii="仿宋_GB2312" w:hAnsi="仿宋_GB2312" w:eastAsia="仿宋_GB2312" w:cs="仿宋_GB2312"/>
          <w:kern w:val="0"/>
          <w:sz w:val="32"/>
          <w:szCs w:val="32"/>
          <w:lang w:val="en-US" w:eastAsia="zh-CN" w:bidi="zh-CN"/>
        </w:rPr>
        <w:t>综执</w:t>
      </w:r>
      <w:r>
        <w:rPr>
          <w:rFonts w:ascii="仿宋_GB2312" w:hAnsi="仿宋_GB2312" w:eastAsia="仿宋_GB2312" w:cs="仿宋_GB2312"/>
          <w:kern w:val="0"/>
          <w:sz w:val="32"/>
          <w:szCs w:val="32"/>
          <w:lang w:val="zh-CN" w:eastAsia="zh-CN" w:bidi="zh-CN"/>
        </w:rPr>
        <w:t>〔202</w:t>
      </w:r>
      <w:r>
        <w:rPr>
          <w:rFonts w:hint="eastAsia" w:ascii="仿宋_GB2312" w:hAnsi="仿宋_GB2312" w:eastAsia="仿宋_GB2312" w:cs="仿宋_GB2312"/>
          <w:kern w:val="0"/>
          <w:sz w:val="32"/>
          <w:szCs w:val="32"/>
          <w:lang w:val="en-US" w:eastAsia="zh-CN" w:bidi="zh-CN"/>
        </w:rPr>
        <w:t>2</w:t>
      </w:r>
      <w:r>
        <w:rPr>
          <w:rFonts w:ascii="仿宋_GB2312" w:hAnsi="仿宋_GB2312" w:eastAsia="仿宋_GB2312" w:cs="仿宋_GB2312"/>
          <w:kern w:val="0"/>
          <w:sz w:val="32"/>
          <w:szCs w:val="32"/>
          <w:lang w:val="zh-CN" w:eastAsia="zh-CN" w:bidi="zh-CN"/>
        </w:rPr>
        <w:t>〕</w:t>
      </w:r>
      <w:r>
        <w:rPr>
          <w:rFonts w:hint="eastAsia" w:ascii="仿宋_GB2312" w:hAnsi="仿宋_GB2312" w:eastAsia="仿宋_GB2312" w:cs="仿宋_GB2312"/>
          <w:kern w:val="0"/>
          <w:sz w:val="32"/>
          <w:szCs w:val="32"/>
          <w:lang w:val="en-US" w:eastAsia="zh-CN" w:bidi="zh-CN"/>
        </w:rPr>
        <w:t>23</w:t>
      </w:r>
      <w:r>
        <w:rPr>
          <w:rFonts w:ascii="仿宋_GB2312" w:hAnsi="仿宋_GB2312" w:eastAsia="仿宋_GB2312" w:cs="仿宋_GB2312"/>
          <w:kern w:val="0"/>
          <w:sz w:val="32"/>
          <w:szCs w:val="32"/>
          <w:lang w:val="zh-CN" w:eastAsia="zh-CN" w:bidi="zh-CN"/>
        </w:rPr>
        <w:t>号</w:t>
      </w:r>
    </w:p>
    <w:p>
      <w:pPr>
        <w:widowControl w:val="0"/>
        <w:spacing w:line="50" w:lineRule="exact"/>
        <w:ind w:left="-54"/>
        <w:jc w:val="both"/>
        <w:rPr>
          <w:rFonts w:ascii="仿宋_GB2312" w:hAnsi="仿宋_GB2312" w:eastAsia="仿宋_GB2312" w:cs="仿宋_GB2312"/>
          <w:kern w:val="2"/>
          <w:sz w:val="5"/>
          <w:szCs w:val="32"/>
          <w:lang w:val="zh-CN" w:eastAsia="zh-CN" w:bidi="zh-CN"/>
        </w:rPr>
      </w:pPr>
      <w:r>
        <w:rPr>
          <w:rFonts w:ascii="仿宋_GB2312" w:hAnsi="仿宋_GB2312" w:eastAsia="仿宋_GB2312" w:cs="仿宋_GB2312"/>
          <w:kern w:val="2"/>
          <w:position w:val="0"/>
          <w:sz w:val="5"/>
          <w:szCs w:val="32"/>
          <w:lang w:val="zh-CN" w:eastAsia="zh-CN" w:bidi="zh-CN"/>
        </w:rPr>
        <mc:AlternateContent>
          <mc:Choice Requires="wpg">
            <w:drawing>
              <wp:inline distT="0" distB="0" distL="114300" distR="114300">
                <wp:extent cx="5219700" cy="31750"/>
                <wp:effectExtent l="0" t="0" r="0" b="6350"/>
                <wp:docPr id="41" name="组合 41"/>
                <wp:cNvGraphicFramePr/>
                <a:graphic xmlns:a="http://schemas.openxmlformats.org/drawingml/2006/main">
                  <a:graphicData uri="http://schemas.microsoft.com/office/word/2010/wordprocessingGroup">
                    <wpg:wgp>
                      <wpg:cNvGrpSpPr/>
                      <wpg:grpSpPr>
                        <a:xfrm>
                          <a:off x="0" y="0"/>
                          <a:ext cx="5219700" cy="31750"/>
                          <a:chOff x="0" y="0"/>
                          <a:chExt cx="8844" cy="50"/>
                        </a:xfrm>
                        <a:effectLst/>
                      </wpg:grpSpPr>
                      <wps:wsp>
                        <wps:cNvPr id="40" name="直接连接符 40"/>
                        <wps:cNvCnPr/>
                        <wps:spPr>
                          <a:xfrm>
                            <a:off x="0" y="25"/>
                            <a:ext cx="8844" cy="0"/>
                          </a:xfrm>
                          <a:prstGeom prst="line">
                            <a:avLst/>
                          </a:prstGeom>
                          <a:ln w="31750" cap="flat" cmpd="sng">
                            <a:solidFill>
                              <a:srgbClr val="FF0000"/>
                            </a:solidFill>
                            <a:prstDash val="solid"/>
                            <a:headEnd type="none" w="med" len="med"/>
                            <a:tailEnd type="none" w="med" len="med"/>
                          </a:ln>
                          <a:effectLst/>
                        </wps:spPr>
                        <wps:bodyPr upright="1"/>
                      </wps:wsp>
                    </wpg:wgp>
                  </a:graphicData>
                </a:graphic>
              </wp:inline>
            </w:drawing>
          </mc:Choice>
          <mc:Fallback>
            <w:pict>
              <v:group id="_x0000_s1026" o:spid="_x0000_s1026" o:spt="203" style="height:2.5pt;width:411pt;" coordsize="8844,50" o:gfxdata="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bGlr3TAAAAAwEAAA8AAAAAAAAAAQAgAAAAIgAAAGRycy9kb3ducmV2LnhtbFBLAQIUABQAAAAI&#10;AIdO4kAM0OL6ZAIAACoFAAAOAAAAAAAAAAEAIAAAACIBAABkcnMvZTJvRG9jLnhtbFBLBQYAAAAA&#10;BgAGAFkBAAD4BQAAAAA=&#10;">
                <o:lock v:ext="edit" aspectratio="f"/>
                <v:line id="_x0000_s1026" o:spid="_x0000_s1026" o:spt="20" style="position:absolute;left:0;top:25;height:0;width:8844;" filled="f" stroked="t" coordsize="21600,21600" o:gfxdata="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GHCj5twAAANsAAAAP&#10;AAAAAAAAAAEAIAAAACIAAABkcnMvZG93bnJldi54bWxQSwECFAAUAAAACACHTuJAMy8FnjsAAAA5&#10;AAAAEAAAAAAAAAABACAAAAAGAQAAZHJzL3NoYXBleG1sLnhtbFBLBQYAAAAABgAGAFsBAACwAwAA&#10;AAA=&#10;">
                  <v:fill on="f" focussize="0,0"/>
                  <v:stroke weight="2.5pt" color="#FF0000" joinstyle="round"/>
                  <v:imagedata o:title=""/>
                  <o:lock v:ext="edit" aspectratio="f"/>
                </v:line>
                <w10:wrap type="none"/>
                <w10:anchorlock/>
              </v:group>
            </w:pict>
          </mc:Fallback>
        </mc:AlternateContent>
      </w:r>
    </w:p>
    <w:p>
      <w:pPr>
        <w:bidi w:val="0"/>
        <w:jc w:val="both"/>
        <w:rPr>
          <w:rFonts w:hint="eastAsia" w:ascii="黑体" w:hAnsi="黑体" w:eastAsia="黑体" w:cs="黑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关于印发《关于明确上虞区城市绿化补偿收费标准及有关事项的通知》的通知</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区直相关部门和单位，各乡镇街道：</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为进一步规范我区城市绿化补偿管理工作，</w:t>
      </w: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lang w:eastAsia="zh-CN"/>
        </w:rPr>
        <w:t>浙江省</w:t>
      </w:r>
      <w:bookmarkStart w:id="0" w:name="_GoBack"/>
      <w:bookmarkEnd w:id="0"/>
      <w:r>
        <w:rPr>
          <w:rFonts w:hint="eastAsia" w:ascii="仿宋_GB2312" w:hAnsi="Times New Roman" w:eastAsia="仿宋_GB2312" w:cs="Times New Roman"/>
          <w:sz w:val="32"/>
          <w:szCs w:val="32"/>
          <w:lang w:eastAsia="zh-CN"/>
        </w:rPr>
        <w:t>建设厅、自然资源厅和财政厅联合下发的</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关于城市绿化规划建设与补偿有关事项的通知</w:t>
      </w:r>
      <w:r>
        <w:rPr>
          <w:rFonts w:hint="eastAsia" w:ascii="仿宋_GB2312" w:hAnsi="Times New Roman" w:eastAsia="仿宋_GB2312" w:cs="Times New Roman"/>
          <w:sz w:val="32"/>
          <w:szCs w:val="32"/>
        </w:rPr>
        <w:t>》（</w:t>
      </w:r>
      <w:r>
        <w:rPr>
          <w:rFonts w:ascii="仿宋_GB2312" w:hAnsi="宋体" w:eastAsia="仿宋_GB2312" w:cs="仿宋_GB2312"/>
          <w:color w:val="000000"/>
          <w:kern w:val="0"/>
          <w:sz w:val="32"/>
          <w:szCs w:val="32"/>
        </w:rPr>
        <w:t>浙</w:t>
      </w:r>
      <w:r>
        <w:rPr>
          <w:rFonts w:ascii="仿宋_GB2312" w:hAnsi="宋体" w:eastAsia="仿宋_GB2312" w:cs="仿宋_GB2312"/>
          <w:color w:val="000000" w:themeColor="text1"/>
          <w:kern w:val="0"/>
          <w:sz w:val="32"/>
          <w:szCs w:val="32"/>
          <w14:textFill>
            <w14:solidFill>
              <w14:schemeClr w14:val="tx1"/>
            </w14:solidFill>
          </w14:textFill>
        </w:rPr>
        <w:t>建</w:t>
      </w:r>
      <w:r>
        <w:rPr>
          <w:rFonts w:ascii="仿宋_GB2312" w:hAnsi="Times New Roman" w:eastAsia="仿宋_GB2312" w:cs="Times New Roman"/>
          <w:color w:val="000000" w:themeColor="text1"/>
          <w:sz w:val="32"/>
          <w:szCs w:val="32"/>
          <w14:textFill>
            <w14:solidFill>
              <w14:schemeClr w14:val="tx1"/>
            </w14:solidFill>
          </w14:textFill>
        </w:rPr>
        <w:t>〔2020〕17 号</w:t>
      </w:r>
      <w:r>
        <w:rPr>
          <w:rFonts w:hint="eastAsia" w:ascii="仿宋_GB2312" w:hAnsi="Times New Roman" w:eastAsia="仿宋_GB2312" w:cs="Times New Roman"/>
          <w:color w:val="000000" w:themeColor="text1"/>
          <w:sz w:val="32"/>
          <w:szCs w:val="32"/>
          <w14:textFill>
            <w14:solidFill>
              <w14:schemeClr w14:val="tx1"/>
            </w14:solidFill>
          </w14:textFill>
        </w:rPr>
        <w:t>）</w:t>
      </w:r>
      <w:r>
        <w:rPr>
          <w:rFonts w:hint="eastAsia" w:ascii="仿宋_GB2312" w:hAnsi="Times New Roman" w:eastAsia="仿宋_GB2312" w:cs="Times New Roman"/>
          <w:color w:val="000000" w:themeColor="text1"/>
          <w:sz w:val="32"/>
          <w:szCs w:val="32"/>
          <w:lang w:eastAsia="zh-CN"/>
          <w14:textFill>
            <w14:solidFill>
              <w14:schemeClr w14:val="tx1"/>
            </w14:solidFill>
          </w14:textFill>
        </w:rPr>
        <w:t>精神</w:t>
      </w:r>
      <w:r>
        <w:rPr>
          <w:rFonts w:hint="eastAsia" w:ascii="仿宋_GB2312" w:hAnsi="Times New Roman" w:eastAsia="仿宋_GB2312" w:cs="Times New Roman"/>
          <w:color w:val="000000" w:themeColor="text1"/>
          <w:sz w:val="32"/>
          <w:szCs w:val="32"/>
          <w14:textFill>
            <w14:solidFill>
              <w14:schemeClr w14:val="tx1"/>
            </w14:solidFill>
          </w14:textFill>
        </w:rPr>
        <w:t>,</w:t>
      </w:r>
      <w:r>
        <w:rPr>
          <w:rFonts w:hint="eastAsia" w:ascii="仿宋_GB2312" w:hAnsi="Times New Roman" w:eastAsia="仿宋_GB2312" w:cs="Times New Roman"/>
          <w:color w:val="000000" w:themeColor="text1"/>
          <w:sz w:val="32"/>
          <w:szCs w:val="32"/>
          <w:lang w:eastAsia="zh-CN"/>
          <w14:textFill>
            <w14:solidFill>
              <w14:schemeClr w14:val="tx1"/>
            </w14:solidFill>
          </w14:textFill>
        </w:rPr>
        <w:t>由绍兴市上虞区综合行政执法局联合区财政局、区自然资源和规划</w:t>
      </w:r>
      <w:r>
        <w:rPr>
          <w:rFonts w:hint="eastAsia" w:ascii="仿宋_GB2312" w:hAnsi="Times New Roman" w:eastAsia="仿宋_GB2312" w:cs="Times New Roman"/>
          <w:sz w:val="32"/>
          <w:szCs w:val="32"/>
          <w:lang w:eastAsia="zh-CN"/>
        </w:rPr>
        <w:t>分局、区建设局等部门制定了《</w:t>
      </w:r>
      <w:r>
        <w:rPr>
          <w:rFonts w:hint="eastAsia" w:ascii="仿宋_GB2312" w:hAnsi="Times New Roman" w:eastAsia="仿宋_GB2312" w:cs="Times New Roman"/>
          <w:sz w:val="32"/>
          <w:szCs w:val="32"/>
          <w:lang w:val="en-US" w:eastAsia="zh-CN"/>
        </w:rPr>
        <w:t>关于明确上虞区城市绿化补偿收费标准及有关事项的通知》，现印发给你们，请遵照执行。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2"/>
          <w:lang w:val="en-US" w:eastAsia="zh-CN"/>
        </w:rPr>
      </w:pPr>
    </w:p>
    <w:p>
      <w:pPr>
        <w:widowControl/>
        <w:jc w:val="left"/>
        <w:rPr>
          <w:rFonts w:hint="eastAsia"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绍兴市上虞区</w:t>
      </w:r>
      <w:r>
        <w:rPr>
          <w:rFonts w:hint="eastAsia" w:ascii="仿宋_GB2312" w:hAnsi="仿宋_GB2312" w:eastAsia="仿宋_GB2312" w:cs="仿宋_GB2312"/>
          <w:color w:val="000000"/>
          <w:kern w:val="0"/>
          <w:sz w:val="31"/>
          <w:szCs w:val="31"/>
          <w:lang w:val="en-US" w:eastAsia="zh-CN" w:bidi="ar"/>
        </w:rPr>
        <w:t xml:space="preserve">综合行政执法局        </w:t>
      </w:r>
      <w:r>
        <w:rPr>
          <w:rFonts w:hint="eastAsia" w:ascii="仿宋_GB2312" w:hAnsi="仿宋_GB2312" w:eastAsia="仿宋_GB2312" w:cs="仿宋_GB2312"/>
          <w:color w:val="000000"/>
          <w:kern w:val="0"/>
          <w:sz w:val="31"/>
          <w:szCs w:val="31"/>
          <w:lang w:bidi="ar"/>
        </w:rPr>
        <w:t>绍兴市上虞区</w:t>
      </w:r>
      <w:r>
        <w:rPr>
          <w:rFonts w:hint="eastAsia" w:ascii="仿宋_GB2312" w:hAnsi="仿宋_GB2312" w:eastAsia="仿宋_GB2312" w:cs="仿宋_GB2312"/>
          <w:color w:val="000000"/>
          <w:kern w:val="0"/>
          <w:sz w:val="31"/>
          <w:szCs w:val="31"/>
          <w:lang w:eastAsia="zh-CN" w:bidi="ar"/>
        </w:rPr>
        <w:t>财政局</w:t>
      </w:r>
      <w:r>
        <w:rPr>
          <w:rFonts w:hint="eastAsia" w:ascii="仿宋_GB2312" w:hAnsi="仿宋_GB2312" w:eastAsia="仿宋_GB2312" w:cs="仿宋_GB2312"/>
          <w:color w:val="000000"/>
          <w:kern w:val="0"/>
          <w:sz w:val="31"/>
          <w:szCs w:val="31"/>
          <w:lang w:val="en-US" w:eastAsia="zh-CN" w:bidi="ar"/>
        </w:rPr>
        <w:t xml:space="preserve"> </w:t>
      </w:r>
    </w:p>
    <w:p>
      <w:pPr>
        <w:widowControl/>
        <w:jc w:val="righ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 xml:space="preserve"> </w:t>
      </w:r>
    </w:p>
    <w:p>
      <w:pPr>
        <w:widowControl/>
        <w:jc w:val="both"/>
        <w:rPr>
          <w:rFonts w:hint="eastAsia" w:ascii="仿宋_GB2312" w:hAnsi="仿宋_GB2312" w:eastAsia="仿宋_GB2312" w:cs="仿宋_GB2312"/>
          <w:color w:val="000000"/>
          <w:spacing w:val="-20"/>
          <w:kern w:val="0"/>
          <w:sz w:val="31"/>
          <w:szCs w:val="31"/>
          <w:lang w:val="en-US" w:eastAsia="zh-CN" w:bidi="ar"/>
        </w:rPr>
      </w:pPr>
    </w:p>
    <w:p>
      <w:pPr>
        <w:widowControl/>
        <w:jc w:val="both"/>
        <w:rPr>
          <w:rFonts w:hint="eastAsia" w:ascii="仿宋_GB2312" w:hAnsi="仿宋_GB2312" w:eastAsia="仿宋_GB2312" w:cs="仿宋_GB2312"/>
          <w:color w:val="000000"/>
          <w:spacing w:val="-20"/>
          <w:kern w:val="0"/>
          <w:sz w:val="31"/>
          <w:szCs w:val="31"/>
          <w:lang w:val="en-US" w:eastAsia="zh-CN" w:bidi="ar"/>
        </w:rPr>
      </w:pPr>
    </w:p>
    <w:p>
      <w:pPr>
        <w:widowControl/>
        <w:jc w:val="both"/>
        <w:rPr>
          <w:rFonts w:hint="default" w:ascii="仿宋_GB2312" w:hAnsi="仿宋_GB2312" w:eastAsia="仿宋_GB2312" w:cs="仿宋_GB2312"/>
          <w:color w:val="000000"/>
          <w:spacing w:val="-20"/>
          <w:kern w:val="0"/>
          <w:sz w:val="31"/>
          <w:szCs w:val="31"/>
          <w:lang w:val="en-US" w:eastAsia="zh-CN" w:bidi="ar"/>
        </w:rPr>
      </w:pPr>
      <w:r>
        <w:rPr>
          <w:rFonts w:hint="eastAsia" w:ascii="仿宋_GB2312" w:hAnsi="仿宋_GB2312" w:eastAsia="仿宋_GB2312" w:cs="仿宋_GB2312"/>
          <w:color w:val="000000"/>
          <w:spacing w:val="-20"/>
          <w:kern w:val="0"/>
          <w:sz w:val="31"/>
          <w:szCs w:val="31"/>
          <w:lang w:val="en-US" w:eastAsia="zh-CN" w:bidi="ar"/>
        </w:rPr>
        <w:t>绍兴市自然资源和规划局上虞分局    绍兴市上虞区住房和城乡建设局</w:t>
      </w:r>
    </w:p>
    <w:p>
      <w:pPr>
        <w:widowControl/>
        <w:jc w:val="right"/>
        <w:rPr>
          <w:rFonts w:hint="eastAsia" w:ascii="仿宋_GB2312" w:hAnsi="仿宋_GB2312" w:eastAsia="仿宋_GB2312" w:cs="仿宋_GB2312"/>
          <w:color w:val="000000"/>
          <w:kern w:val="0"/>
          <w:sz w:val="31"/>
          <w:szCs w:val="31"/>
          <w:lang w:val="en-US" w:eastAsia="zh-CN" w:bidi="ar"/>
        </w:rPr>
      </w:pPr>
    </w:p>
    <w:p>
      <w:pPr>
        <w:widowControl/>
        <w:ind w:firstLine="5270" w:firstLineChars="1700"/>
        <w:jc w:val="both"/>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 xml:space="preserve">    </w:t>
      </w:r>
    </w:p>
    <w:p>
      <w:pPr>
        <w:widowControl/>
        <w:ind w:firstLine="5270" w:firstLineChars="1700"/>
        <w:jc w:val="both"/>
        <w:rPr>
          <w:rFonts w:hint="eastAsia"/>
          <w:lang w:val="en-US" w:eastAsia="zh-CN"/>
        </w:rPr>
      </w:pPr>
      <w:r>
        <w:rPr>
          <w:rFonts w:hint="eastAsia" w:ascii="仿宋_GB2312" w:hAnsi="仿宋_GB2312" w:eastAsia="仿宋_GB2312" w:cs="仿宋_GB2312"/>
          <w:color w:val="000000"/>
          <w:kern w:val="0"/>
          <w:sz w:val="31"/>
          <w:szCs w:val="31"/>
          <w:lang w:bidi="ar"/>
        </w:rPr>
        <w:t>202</w:t>
      </w:r>
      <w:r>
        <w:rPr>
          <w:rFonts w:hint="eastAsia" w:ascii="仿宋_GB2312" w:hAnsi="仿宋_GB2312" w:eastAsia="仿宋_GB2312" w:cs="仿宋_GB2312"/>
          <w:color w:val="000000"/>
          <w:kern w:val="0"/>
          <w:sz w:val="31"/>
          <w:szCs w:val="31"/>
          <w:lang w:val="en-US" w:eastAsia="zh-CN" w:bidi="ar"/>
        </w:rPr>
        <w:t>2</w:t>
      </w:r>
      <w:r>
        <w:rPr>
          <w:rFonts w:hint="eastAsia" w:ascii="仿宋_GB2312" w:hAnsi="仿宋_GB2312" w:eastAsia="仿宋_GB2312" w:cs="仿宋_GB2312"/>
          <w:color w:val="000000"/>
          <w:kern w:val="0"/>
          <w:sz w:val="31"/>
          <w:szCs w:val="31"/>
          <w:lang w:bidi="ar"/>
        </w:rPr>
        <w:t>年</w:t>
      </w:r>
      <w:r>
        <w:rPr>
          <w:rFonts w:hint="eastAsia" w:ascii="仿宋_GB2312" w:hAnsi="仿宋_GB2312" w:eastAsia="仿宋_GB2312" w:cs="仿宋_GB2312"/>
          <w:color w:val="000000"/>
          <w:kern w:val="0"/>
          <w:sz w:val="31"/>
          <w:szCs w:val="31"/>
          <w:lang w:val="en-US" w:eastAsia="zh-CN" w:bidi="ar"/>
        </w:rPr>
        <w:t>12</w:t>
      </w:r>
      <w:r>
        <w:rPr>
          <w:rFonts w:hint="eastAsia" w:ascii="仿宋_GB2312" w:hAnsi="仿宋_GB2312" w:eastAsia="仿宋_GB2312" w:cs="仿宋_GB2312"/>
          <w:color w:val="000000"/>
          <w:kern w:val="0"/>
          <w:sz w:val="31"/>
          <w:szCs w:val="31"/>
          <w:lang w:bidi="ar"/>
        </w:rPr>
        <w:t>月</w:t>
      </w:r>
      <w:r>
        <w:rPr>
          <w:rFonts w:hint="eastAsia" w:ascii="仿宋_GB2312" w:hAnsi="仿宋_GB2312" w:eastAsia="仿宋_GB2312" w:cs="仿宋_GB2312"/>
          <w:color w:val="000000"/>
          <w:kern w:val="0"/>
          <w:sz w:val="31"/>
          <w:szCs w:val="31"/>
          <w:lang w:val="en-US" w:eastAsia="zh-CN" w:bidi="ar"/>
        </w:rPr>
        <w:t>19</w:t>
      </w:r>
      <w:r>
        <w:rPr>
          <w:rFonts w:hint="eastAsia" w:ascii="仿宋_GB2312" w:hAnsi="仿宋_GB2312" w:eastAsia="仿宋_GB2312" w:cs="仿宋_GB2312"/>
          <w:color w:val="000000"/>
          <w:kern w:val="0"/>
          <w:sz w:val="31"/>
          <w:szCs w:val="31"/>
          <w:lang w:bidi="ar"/>
        </w:rPr>
        <w:t>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（此件公开发布）</w:t>
      </w:r>
    </w:p>
    <w:p>
      <w:pP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br w:type="page"/>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关于明确上虞区城市绿化补偿收费标准及有关事项的通知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为加强和规范我区城市绿化补偿管理工作，根据《浙江省城市绿化管理办法》和</w:t>
      </w:r>
      <w:r>
        <w:rPr>
          <w:rFonts w:hint="eastAsia" w:ascii="仿宋_GB2312" w:hAnsi="仿宋_GB2312" w:eastAsia="仿宋_GB2312" w:cs="仿宋_GB2312"/>
          <w:color w:val="000000" w:themeColor="text1"/>
          <w:kern w:val="0"/>
          <w:sz w:val="32"/>
          <w:szCs w:val="32"/>
          <w14:textFill>
            <w14:solidFill>
              <w14:schemeClr w14:val="tx1"/>
            </w14:solidFill>
          </w14:textFill>
        </w:rPr>
        <w:t>《关于城市绿化规划建设与补偿有关事项的通知》（浙建〔2020〕17号）</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等文件</w:t>
      </w:r>
      <w:r>
        <w:rPr>
          <w:rFonts w:hint="eastAsia" w:ascii="仿宋_GB2312" w:hAnsi="仿宋_GB2312" w:eastAsia="仿宋_GB2312" w:cs="仿宋_GB2312"/>
          <w:color w:val="000000" w:themeColor="text1"/>
          <w:kern w:val="0"/>
          <w:sz w:val="32"/>
          <w:szCs w:val="32"/>
          <w14:textFill>
            <w14:solidFill>
              <w14:schemeClr w14:val="tx1"/>
            </w14:solidFill>
          </w14:textFill>
        </w:rPr>
        <w:t>要求，结合我</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区</w:t>
      </w:r>
      <w:r>
        <w:rPr>
          <w:rFonts w:hint="eastAsia" w:ascii="仿宋_GB2312" w:hAnsi="仿宋_GB2312" w:eastAsia="仿宋_GB2312" w:cs="仿宋_GB2312"/>
          <w:color w:val="000000" w:themeColor="text1"/>
          <w:kern w:val="0"/>
          <w:sz w:val="32"/>
          <w:szCs w:val="32"/>
          <w14:textFill>
            <w14:solidFill>
              <w14:schemeClr w14:val="tx1"/>
            </w14:solidFill>
          </w14:textFill>
        </w:rPr>
        <w:t>实际</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特制定本标准。</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ascii="黑体" w:hAnsi="宋体" w:eastAsia="黑体" w:cs="黑体"/>
          <w:color w:val="000000" w:themeColor="text1"/>
          <w:kern w:val="0"/>
          <w:sz w:val="32"/>
          <w:szCs w:val="32"/>
          <w14:textFill>
            <w14:solidFill>
              <w14:schemeClr w14:val="tx1"/>
            </w14:solidFill>
          </w14:textFill>
        </w:rPr>
      </w:pPr>
      <w:r>
        <w:rPr>
          <w:rFonts w:ascii="黑体" w:hAnsi="宋体" w:eastAsia="黑体" w:cs="黑体"/>
          <w:color w:val="000000" w:themeColor="text1"/>
          <w:kern w:val="0"/>
          <w:sz w:val="32"/>
          <w:szCs w:val="32"/>
          <w14:textFill>
            <w14:solidFill>
              <w14:schemeClr w14:val="tx1"/>
            </w14:solidFill>
          </w14:textFill>
        </w:rPr>
        <w:t xml:space="preserve">临时占用城市绿地补偿标准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经批准后临时占用城市绿地的，应限期恢复原状，并按占用天数进行补偿。</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_GB2312"/>
          <w:color w:val="000000" w:themeColor="text1"/>
          <w:kern w:val="0"/>
          <w:sz w:val="32"/>
          <w:szCs w:val="32"/>
          <w14:textFill>
            <w14:solidFill>
              <w14:schemeClr w14:val="tx1"/>
            </w14:solidFill>
          </w14:textFill>
        </w:rPr>
      </w:pPr>
      <w:r>
        <w:rPr>
          <w:rFonts w:ascii="仿宋_GB2312" w:hAnsi="宋体" w:eastAsia="仿宋_GB2312" w:cs="仿宋_GB2312"/>
          <w:color w:val="000000" w:themeColor="text1"/>
          <w:kern w:val="0"/>
          <w:sz w:val="32"/>
          <w:szCs w:val="32"/>
          <w14:textFill>
            <w14:solidFill>
              <w14:schemeClr w14:val="tx1"/>
            </w14:solidFill>
          </w14:textFill>
        </w:rPr>
        <w:t xml:space="preserve">（一）关于限期恢复原状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绿地原有植物、设施等综合价值应进行充</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分评估</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恢复原</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状的效果需获得被占用单位认可。限期恢复原状所涉及的工程费用由占用单位（或个人）承担，具体实施主体可协商确定。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（二）关于补偿标准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临时占用城市绿地补偿以被临时占用区块商服用地级别基准地价为基础，具体等级划分见附件2《绍兴市人民政府关于公布绍兴市区基准地价更新成果的通知 》（绍政发〔2019〕21 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计算方式：临时占用城市绿地补偿（元/平方米·日）=【（商服用地级别基准地价÷40÷365）】*2.0</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eastAsia="zh-CN"/>
        </w:rPr>
      </w:pPr>
      <w:r>
        <w:rPr>
          <w:rFonts w:hint="eastAsia" w:ascii="仿宋_GB2312" w:hAnsi="宋体" w:eastAsia="仿宋_GB2312" w:cs="仿宋_GB2312"/>
          <w:color w:val="000000"/>
          <w:kern w:val="0"/>
          <w:sz w:val="32"/>
          <w:szCs w:val="32"/>
          <w:lang w:eastAsia="zh-CN"/>
        </w:rPr>
        <w:t xml:space="preserve">备注：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eastAsia="zh-CN"/>
        </w:rPr>
      </w:pPr>
      <w:r>
        <w:rPr>
          <w:rFonts w:hint="eastAsia" w:ascii="仿宋_GB2312" w:hAnsi="宋体" w:eastAsia="仿宋_GB2312" w:cs="仿宋_GB2312"/>
          <w:color w:val="000000"/>
          <w:kern w:val="0"/>
          <w:sz w:val="32"/>
          <w:szCs w:val="32"/>
          <w:lang w:eastAsia="zh-CN"/>
        </w:rPr>
        <w:t xml:space="preserve">1.参照商服用地出让年限，取 40 年数值。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eastAsia="zh-CN"/>
        </w:rPr>
      </w:pPr>
      <w:r>
        <w:rPr>
          <w:rFonts w:hint="eastAsia" w:ascii="仿宋_GB2312" w:hAnsi="宋体" w:eastAsia="仿宋_GB2312" w:cs="仿宋_GB2312"/>
          <w:color w:val="000000"/>
          <w:kern w:val="0"/>
          <w:sz w:val="32"/>
          <w:szCs w:val="32"/>
          <w:lang w:eastAsia="zh-CN"/>
        </w:rPr>
        <w:t xml:space="preserve">2.基于植物具有生命和绿地的综合价值等因素进行考量，补偿系数取 2.0。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eastAsia="zh-CN"/>
        </w:rPr>
      </w:pPr>
      <w:r>
        <w:rPr>
          <w:rFonts w:hint="eastAsia" w:ascii="仿宋_GB2312" w:hAnsi="宋体" w:eastAsia="仿宋_GB2312" w:cs="仿宋_GB2312"/>
          <w:color w:val="000000"/>
          <w:kern w:val="0"/>
          <w:sz w:val="32"/>
          <w:szCs w:val="32"/>
          <w:lang w:eastAsia="zh-CN"/>
        </w:rPr>
        <w:t xml:space="preserve">3.每株行道树占地面积按 1.5 平方米*种植间距计算。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黑体" w:hAnsi="宋体" w:eastAsia="黑体" w:cs="黑体"/>
          <w:color w:val="000000"/>
          <w:kern w:val="0"/>
          <w:sz w:val="32"/>
          <w:szCs w:val="32"/>
        </w:rPr>
      </w:pPr>
      <w:r>
        <w:rPr>
          <w:rFonts w:hint="eastAsia" w:ascii="黑体" w:hAnsi="宋体" w:eastAsia="黑体" w:cs="黑体"/>
          <w:color w:val="000000"/>
          <w:kern w:val="0"/>
          <w:sz w:val="32"/>
          <w:szCs w:val="32"/>
          <w:lang w:eastAsia="zh-CN"/>
        </w:rPr>
        <w:t>二、</w:t>
      </w:r>
      <w:r>
        <w:rPr>
          <w:rFonts w:ascii="黑体" w:hAnsi="宋体" w:eastAsia="黑体" w:cs="黑体"/>
          <w:color w:val="000000"/>
          <w:kern w:val="0"/>
          <w:sz w:val="32"/>
          <w:szCs w:val="32"/>
        </w:rPr>
        <w:t xml:space="preserve">砍伐城市树木补偿标准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eastAsia="zh-CN"/>
        </w:rPr>
        <w:t>（一）经批准砍伐城市树木后，原有树木的综合价值由产权单位进行充分评估</w:t>
      </w:r>
      <w:r>
        <w:rPr>
          <w:rFonts w:hint="eastAsia" w:ascii="仿宋_GB2312" w:hAnsi="宋体" w:eastAsia="仿宋_GB2312" w:cs="仿宋_GB2312"/>
          <w:color w:val="000000"/>
          <w:kern w:val="0"/>
          <w:sz w:val="32"/>
          <w:szCs w:val="32"/>
          <w:lang w:val="en-US" w:eastAsia="zh-CN"/>
        </w:rPr>
        <w:t>，并按照评估价格赔偿给原树木产权单位。</w:t>
      </w:r>
      <w:r>
        <w:rPr>
          <w:rFonts w:hint="eastAsia" w:ascii="仿宋_GB2312" w:hAnsi="宋体" w:eastAsia="仿宋_GB2312" w:cs="仿宋_GB2312"/>
          <w:color w:val="000000"/>
          <w:kern w:val="0"/>
          <w:sz w:val="32"/>
          <w:szCs w:val="32"/>
          <w:lang w:eastAsia="zh-CN"/>
        </w:rPr>
        <w:t>所涉及的工程费用由占用单位（或个人）承担，具体实施主体可协商确定。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eastAsia="zh-CN"/>
        </w:rPr>
      </w:pPr>
      <w:r>
        <w:rPr>
          <w:rFonts w:hint="eastAsia" w:ascii="仿宋_GB2312" w:hAnsi="宋体" w:eastAsia="仿宋_GB2312" w:cs="仿宋_GB2312"/>
          <w:color w:val="000000"/>
          <w:kern w:val="0"/>
          <w:sz w:val="32"/>
          <w:szCs w:val="32"/>
          <w:lang w:eastAsia="zh-CN"/>
        </w:rPr>
        <w:t>（二）对城市绿地资源有损害的，应当进行补偿。</w:t>
      </w:r>
      <w:r>
        <w:rPr>
          <w:rFonts w:hint="eastAsia" w:ascii="仿宋_GB2312" w:hAnsi="宋体" w:eastAsia="仿宋_GB2312" w:cs="仿宋_GB2312"/>
          <w:color w:val="000000"/>
          <w:kern w:val="0"/>
          <w:sz w:val="32"/>
          <w:szCs w:val="32"/>
          <w:lang w:val="en-US" w:eastAsia="zh-CN"/>
        </w:rPr>
        <w:t>补偿标准：</w:t>
      </w:r>
      <w:r>
        <w:rPr>
          <w:rFonts w:hint="eastAsia" w:ascii="仿宋_GB2312" w:hAnsi="宋体" w:eastAsia="仿宋_GB2312" w:cs="仿宋_GB2312"/>
          <w:color w:val="000000"/>
          <w:kern w:val="0"/>
          <w:sz w:val="32"/>
          <w:szCs w:val="32"/>
          <w:lang w:eastAsia="zh-CN"/>
        </w:rPr>
        <w:t xml:space="preserve">按照评估价值的30%进行补偿。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firstLine="320" w:firstLineChars="100"/>
        <w:jc w:val="left"/>
        <w:textAlignment w:val="auto"/>
        <w:rPr>
          <w:rFonts w:hint="eastAsia" w:ascii="黑体" w:hAnsi="宋体" w:eastAsia="黑体" w:cs="黑体"/>
          <w:color w:val="000000" w:themeColor="text1"/>
          <w:kern w:val="0"/>
          <w:sz w:val="32"/>
          <w:szCs w:val="32"/>
          <w:lang w:eastAsia="zh-CN"/>
          <w14:textFill>
            <w14:solidFill>
              <w14:schemeClr w14:val="tx1"/>
            </w14:solidFill>
          </w14:textFill>
        </w:rPr>
      </w:pPr>
      <w:r>
        <w:rPr>
          <w:rFonts w:hint="eastAsia" w:ascii="黑体" w:hAnsi="宋体" w:eastAsia="黑体" w:cs="黑体"/>
          <w:color w:val="000000" w:themeColor="text1"/>
          <w:kern w:val="0"/>
          <w:sz w:val="32"/>
          <w:szCs w:val="32"/>
          <w:lang w:eastAsia="zh-CN"/>
          <w14:textFill>
            <w14:solidFill>
              <w14:schemeClr w14:val="tx1"/>
            </w14:solidFill>
          </w14:textFill>
        </w:rPr>
        <w:t>三、</w:t>
      </w:r>
      <w:r>
        <w:rPr>
          <w:rFonts w:hint="eastAsia" w:ascii="黑体" w:hAnsi="宋体" w:eastAsia="黑体" w:cs="黑体"/>
          <w:color w:val="000000" w:themeColor="text1"/>
          <w:kern w:val="0"/>
          <w:sz w:val="32"/>
          <w:szCs w:val="32"/>
          <w14:textFill>
            <w14:solidFill>
              <w14:schemeClr w14:val="tx1"/>
            </w14:solidFill>
          </w14:textFill>
        </w:rPr>
        <w:t>城市易地绿化</w:t>
      </w:r>
      <w:r>
        <w:rPr>
          <w:rFonts w:hint="eastAsia" w:ascii="黑体" w:hAnsi="宋体" w:eastAsia="黑体" w:cs="黑体"/>
          <w:color w:val="000000" w:themeColor="text1"/>
          <w:kern w:val="0"/>
          <w:sz w:val="32"/>
          <w:szCs w:val="32"/>
          <w:lang w:eastAsia="zh-CN"/>
          <w14:textFill>
            <w14:solidFill>
              <w14:schemeClr w14:val="tx1"/>
            </w14:solidFill>
          </w14:textFill>
        </w:rPr>
        <w:t>建设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因城市建设需要，确需占用或改变城市规划绿化用地和已建绿地，须经城市园林绿化主管部门会同自然资源和规划主管部门联审同意，报同级人民政府批准。经批准占用城市绿地或者改变其使用性质的，应按照就近原则另行选择符合城市绿化规划的地块补足绿化面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（一）对实行绿地面积占补平衡的新建、改（扩)建项目，不再收取城市绿化补偿费。易地绿化建设标准不应低于原有标准。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（二）在公共绿地上设置井盖、变电厢房等设施占用城市绿地的，赔偿标准以商服用地级别基准地价为基础，具体等级划分见附件2《绍兴市人民政府关于公布绍兴市区基准地价更新成果的通知 》（绍政发〔2019〕21 号）。</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000000" w:themeColor="text1"/>
          <w:kern w:val="0"/>
          <w:sz w:val="32"/>
          <w:szCs w:val="32"/>
          <w:lang w:val="en-US" w:eastAsia="zh-CN"/>
          <w14:textFill>
            <w14:solidFill>
              <w14:schemeClr w14:val="tx1"/>
            </w14:solidFill>
          </w14:textFill>
        </w:rPr>
      </w:pPr>
      <w:r>
        <w:rPr>
          <w:rFonts w:hint="eastAsia" w:ascii="黑体" w:hAnsi="宋体" w:eastAsia="黑体" w:cs="黑体"/>
          <w:color w:val="000000" w:themeColor="text1"/>
          <w:kern w:val="0"/>
          <w:sz w:val="32"/>
          <w:szCs w:val="32"/>
          <w:lang w:val="en-US" w:eastAsia="zh-CN"/>
          <w14:textFill>
            <w14:solidFill>
              <w14:schemeClr w14:val="tx1"/>
            </w14:solidFill>
          </w14:textFill>
        </w:rPr>
        <w:t>四、工作职责</w:t>
      </w:r>
    </w:p>
    <w:p>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color w:val="000000"/>
          <w:kern w:val="0"/>
          <w:sz w:val="32"/>
          <w:szCs w:val="32"/>
          <w:lang w:val="en-US" w:eastAsia="zh-CN" w:bidi="ar-SA"/>
        </w:rPr>
      </w:pPr>
      <w:r>
        <w:rPr>
          <w:rFonts w:hint="eastAsia" w:ascii="仿宋_GB2312" w:hAnsi="宋体" w:eastAsia="仿宋_GB2312" w:cs="仿宋_GB2312"/>
          <w:color w:val="000000"/>
          <w:kern w:val="0"/>
          <w:sz w:val="32"/>
          <w:szCs w:val="32"/>
          <w:lang w:val="en-US" w:eastAsia="zh-CN" w:bidi="ar-SA"/>
        </w:rPr>
        <w:t>区综合执法局牵头负责易地绿化和临时占用绿地的审批工作；做好年度易地绿化的统计工作；负责会同自然资源和规划部门联合审查确需占用或改变城市规划绿化用地和已建绿地的方案。</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宋体" w:eastAsia="仿宋_GB2312" w:cs="仿宋_GB2312"/>
          <w:color w:val="000000"/>
          <w:kern w:val="0"/>
          <w:sz w:val="32"/>
          <w:szCs w:val="32"/>
          <w:lang w:val="en-US" w:eastAsia="zh-CN" w:bidi="ar-SA"/>
        </w:rPr>
      </w:pPr>
      <w:r>
        <w:rPr>
          <w:rFonts w:hint="eastAsia" w:ascii="仿宋_GB2312" w:hAnsi="宋体" w:eastAsia="仿宋_GB2312" w:cs="仿宋_GB2312"/>
          <w:color w:val="000000"/>
          <w:kern w:val="0"/>
          <w:sz w:val="32"/>
          <w:szCs w:val="32"/>
          <w:lang w:val="en-US" w:eastAsia="zh-CN" w:bidi="ar-SA"/>
        </w:rPr>
        <w:t>区自然资源和规划分局配合做好城市绿化专项规划的编制；提供绍兴市区基准地价标准。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SA"/>
        </w:rPr>
      </w:pPr>
      <w:r>
        <w:rPr>
          <w:rFonts w:hint="eastAsia" w:ascii="仿宋_GB2312" w:hAnsi="宋体" w:eastAsia="仿宋_GB2312" w:cs="仿宋_GB2312"/>
          <w:color w:val="000000"/>
          <w:kern w:val="0"/>
          <w:sz w:val="32"/>
          <w:szCs w:val="32"/>
          <w:lang w:val="en-US" w:eastAsia="zh-CN" w:bidi="ar-SA"/>
        </w:rPr>
        <w:t>区建设局负责组织编制城市绿化专项规划，牵头完成易地绿化建设指标任务。</w:t>
      </w:r>
    </w:p>
    <w:p>
      <w:pPr>
        <w:keepNext w:val="0"/>
        <w:keepLines w:val="0"/>
        <w:pageBreakBefore w:val="0"/>
        <w:widowControl/>
        <w:kinsoku/>
        <w:wordWrap/>
        <w:overflowPunct/>
        <w:topLinePunct w:val="0"/>
        <w:autoSpaceDE/>
        <w:autoSpaceDN/>
        <w:bidi w:val="0"/>
        <w:adjustRightInd/>
        <w:snapToGrid/>
        <w:spacing w:line="560" w:lineRule="exact"/>
        <w:ind w:left="617" w:leftChars="294" w:firstLine="0" w:firstLineChars="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区财政局负责所辖范围内易地绿化建设项目费用的保障。</w:t>
      </w:r>
    </w:p>
    <w:p>
      <w:pPr>
        <w:keepNext w:val="0"/>
        <w:keepLines w:val="0"/>
        <w:pageBreakBefore w:val="0"/>
        <w:widowControl/>
        <w:kinsoku/>
        <w:wordWrap/>
        <w:overflowPunct/>
        <w:topLinePunct w:val="0"/>
        <w:autoSpaceDE/>
        <w:autoSpaceDN/>
        <w:bidi w:val="0"/>
        <w:adjustRightInd/>
        <w:snapToGrid/>
        <w:spacing w:line="560" w:lineRule="exact"/>
        <w:ind w:left="617" w:leftChars="294" w:firstLine="0" w:firstLineChars="0"/>
        <w:jc w:val="left"/>
        <w:textAlignment w:val="auto"/>
        <w:rPr>
          <w:rFonts w:hint="eastAsia" w:ascii="黑体" w:hAnsi="宋体" w:eastAsia="黑体" w:cs="黑体"/>
          <w:color w:val="000000" w:themeColor="text1"/>
          <w:kern w:val="0"/>
          <w:sz w:val="32"/>
          <w:szCs w:val="32"/>
          <w:lang w:val="en-US" w:eastAsia="zh-CN"/>
          <w14:textFill>
            <w14:solidFill>
              <w14:schemeClr w14:val="tx1"/>
            </w14:solidFill>
          </w14:textFill>
        </w:rPr>
      </w:pPr>
      <w:r>
        <w:rPr>
          <w:rFonts w:hint="eastAsia" w:ascii="黑体" w:hAnsi="宋体" w:eastAsia="黑体" w:cs="黑体"/>
          <w:color w:val="000000" w:themeColor="text1"/>
          <w:kern w:val="0"/>
          <w:sz w:val="32"/>
          <w:szCs w:val="32"/>
          <w:lang w:val="en-US" w:eastAsia="zh-CN"/>
          <w14:textFill>
            <w14:solidFill>
              <w14:schemeClr w14:val="tx1"/>
            </w14:solidFill>
          </w14:textFill>
        </w:rPr>
        <w:t>五、其他事项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（一）易地绿化原则上在同区域内解决，区域内易地绿化专项用地不足的，可按照就近原则，与相邻区块协商解决。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（二）临时占用城市绿地补偿及绿地资源赔偿价格根据绍兴市区基准地价更新情况实行动态调整。</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rPr>
          <w:rFonts w:hint="eastAsia"/>
          <w:sz w:val="32"/>
          <w:szCs w:val="32"/>
          <w:lang w:val="en-US" w:eastAsia="zh-CN"/>
        </w:rPr>
      </w:pPr>
      <w:r>
        <w:rPr>
          <w:rFonts w:hint="eastAsia" w:ascii="仿宋_GB2312" w:hAnsi="仿宋_GB2312" w:eastAsia="仿宋_GB2312" w:cs="仿宋_GB2312"/>
          <w:color w:val="auto"/>
          <w:kern w:val="0"/>
          <w:sz w:val="32"/>
          <w:szCs w:val="32"/>
          <w:shd w:val="clear" w:color="auto" w:fill="auto"/>
          <w:lang w:val="en-US" w:eastAsia="zh-CN"/>
        </w:rPr>
        <w:t>（三）各收费部门</w:t>
      </w:r>
      <w:r>
        <w:rPr>
          <w:rFonts w:hint="eastAsia" w:ascii="仿宋_GB2312" w:hAnsi="仿宋_GB2312" w:eastAsia="仿宋_GB2312" w:cs="仿宋_GB2312"/>
          <w:color w:val="auto"/>
          <w:kern w:val="0"/>
          <w:sz w:val="32"/>
          <w:szCs w:val="32"/>
          <w:shd w:val="clear" w:color="auto" w:fill="auto"/>
        </w:rPr>
        <w:t>严格执行城市易地绿化补偿收入政策，按规定使用由省财政厅统一监制的政府非税收入票据，资金全额上交同级财政，纳入国有资源有偿使用收入。同时，认真做好公示制度，并自觉接受财政、审计等相关部门的监督检查。</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auto"/>
          <w:kern w:val="0"/>
          <w:sz w:val="32"/>
          <w:szCs w:val="32"/>
          <w:shd w:val="clear" w:color="auto" w:fill="auto"/>
          <w:lang w:eastAsia="zh-CN"/>
        </w:rPr>
      </w:pPr>
      <w:r>
        <w:rPr>
          <w:rFonts w:hint="eastAsia" w:ascii="仿宋_GB2312" w:hAnsi="宋体" w:eastAsia="仿宋_GB2312" w:cs="仿宋_GB2312"/>
          <w:color w:val="000000"/>
          <w:kern w:val="0"/>
          <w:sz w:val="32"/>
          <w:szCs w:val="32"/>
          <w:lang w:val="en-US" w:eastAsia="zh-CN"/>
        </w:rPr>
        <w:t>（四）本通知自2023年2月1日起实施，各乡镇街道集镇区绿化补偿有关事项可参考执行。</w:t>
      </w:r>
      <w:r>
        <w:rPr>
          <w:rFonts w:hint="eastAsia" w:ascii="仿宋_GB2312" w:hAnsi="仿宋_GB2312" w:eastAsia="仿宋_GB2312" w:cs="仿宋_GB2312"/>
          <w:color w:val="auto"/>
          <w:kern w:val="0"/>
          <w:sz w:val="32"/>
          <w:szCs w:val="32"/>
          <w:shd w:val="clear" w:color="auto" w:fill="auto"/>
          <w:lang w:eastAsia="zh-CN"/>
        </w:rPr>
        <w:t>今后国家、省、市政府另有规定的，从其规定。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附件1：《关于城市绿化规划建设与补偿有关事项的通知》（浙建〔2020〕17 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附件2：《绍兴市人民政府关于公布绍兴市区基准地价更新成果的通知 》（绍政发〔2019〕21 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附件3：占用、改变城市绿地使用性质审批表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rPr>
      </w:pPr>
      <w:r>
        <w:rPr>
          <w:rFonts w:hint="eastAsia" w:ascii="仿宋_GB2312" w:hAnsi="宋体" w:eastAsia="仿宋_GB2312" w:cs="仿宋_GB2312"/>
          <w:color w:val="000000"/>
          <w:kern w:val="0"/>
          <w:sz w:val="32"/>
          <w:szCs w:val="32"/>
          <w:lang w:val="en-US" w:eastAsia="zh-CN"/>
        </w:rPr>
        <w:t>附件4：临时占用城市绿地审批申请表</w:t>
      </w:r>
    </w:p>
    <w:p>
      <w:pPr>
        <w:keepNext w:val="0"/>
        <w:keepLines w:val="0"/>
        <w:pageBreakBefore w:val="0"/>
        <w:kinsoku/>
        <w:wordWrap/>
        <w:overflowPunct/>
        <w:topLinePunct w:val="0"/>
        <w:autoSpaceDE/>
        <w:autoSpaceDN/>
        <w:bidi w:val="0"/>
        <w:adjustRightInd/>
        <w:snapToGrid/>
        <w:spacing w:line="56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inherit">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5E613A"/>
    <w:multiLevelType w:val="singleLevel"/>
    <w:tmpl w:val="F65E613A"/>
    <w:lvl w:ilvl="0" w:tentative="0">
      <w:start w:val="1"/>
      <w:numFmt w:val="chineseCounting"/>
      <w:suff w:val="nothing"/>
      <w:lvlText w:val="%1、"/>
      <w:lvlJc w:val="left"/>
      <w:rPr>
        <w:rFonts w:hint="eastAsia"/>
      </w:rPr>
    </w:lvl>
  </w:abstractNum>
  <w:abstractNum w:abstractNumId="1">
    <w:nsid w:val="491A3A73"/>
    <w:multiLevelType w:val="multilevel"/>
    <w:tmpl w:val="491A3A73"/>
    <w:lvl w:ilvl="0" w:tentative="0">
      <w:start w:val="1"/>
      <w:numFmt w:val="chineseCountingThousand"/>
      <w:pStyle w:val="2"/>
      <w:suff w:val="space"/>
      <w:lvlText w:val="第%1章 "/>
      <w:lvlJc w:val="left"/>
      <w:rPr>
        <w:rFonts w:hint="eastAsia" w:cs="Times New Roman"/>
      </w:rPr>
    </w:lvl>
    <w:lvl w:ilvl="1" w:tentative="0">
      <w:start w:val="1"/>
      <w:numFmt w:val="decimal"/>
      <w:isLgl/>
      <w:suff w:val="space"/>
      <w:lvlText w:val="%1.%2"/>
      <w:lvlJc w:val="left"/>
      <w:pPr>
        <w:ind w:left="1417"/>
      </w:pPr>
      <w:rPr>
        <w:rFonts w:hint="eastAsia" w:cs="Times New Roman"/>
      </w:rPr>
    </w:lvl>
    <w:lvl w:ilvl="2" w:tentative="0">
      <w:start w:val="1"/>
      <w:numFmt w:val="decimal"/>
      <w:isLgl/>
      <w:suff w:val="space"/>
      <w:lvlText w:val="%1.%2.%3"/>
      <w:lvlJc w:val="left"/>
      <w:rPr>
        <w:rFonts w:hint="default" w:ascii="Arial" w:hAnsi="Arial" w:cs="Times New Roman"/>
        <w:sz w:val="30"/>
        <w:szCs w:val="30"/>
      </w:rPr>
    </w:lvl>
    <w:lvl w:ilvl="3" w:tentative="0">
      <w:start w:val="1"/>
      <w:numFmt w:val="decimal"/>
      <w:isLgl/>
      <w:suff w:val="space"/>
      <w:lvlText w:val="%1.%2.%3.%4"/>
      <w:lvlJc w:val="left"/>
      <w:rPr>
        <w:rFonts w:hint="default" w:ascii="Arial" w:hAnsi="Arial" w:cs="Times New Roman"/>
      </w:rPr>
    </w:lvl>
    <w:lvl w:ilvl="4" w:tentative="0">
      <w:start w:val="1"/>
      <w:numFmt w:val="decimal"/>
      <w:isLgl/>
      <w:suff w:val="space"/>
      <w:lvlText w:val="%1.%2.%3.%4.%5"/>
      <w:lvlJc w:val="left"/>
      <w:rPr>
        <w:rFonts w:hint="default" w:ascii="Arial" w:hAnsi="Arial" w:cs="Times New Roman"/>
        <w:sz w:val="24"/>
        <w:szCs w:val="24"/>
      </w:rPr>
    </w:lvl>
    <w:lvl w:ilvl="5" w:tentative="0">
      <w:start w:val="1"/>
      <w:numFmt w:val="decimal"/>
      <w:isLgl/>
      <w:suff w:val="space"/>
      <w:lvlText w:val="%1.%2.%3.%4.%5.%6"/>
      <w:lvlJc w:val="left"/>
      <w:rPr>
        <w:rFonts w:hint="default" w:ascii="Arial" w:hAnsi="Arial" w:cs="Times New Roman"/>
        <w:sz w:val="24"/>
        <w:szCs w:val="24"/>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NTM4MzY1ZGZkOTBiZDY0ODQ0ZDJkOTIxMGRlOGQifQ=="/>
  </w:docVars>
  <w:rsids>
    <w:rsidRoot w:val="00E9203B"/>
    <w:rsid w:val="002173F8"/>
    <w:rsid w:val="00396355"/>
    <w:rsid w:val="003B2A75"/>
    <w:rsid w:val="00424693"/>
    <w:rsid w:val="005A1F5A"/>
    <w:rsid w:val="008A26EB"/>
    <w:rsid w:val="00A154F3"/>
    <w:rsid w:val="00E9203B"/>
    <w:rsid w:val="05C23886"/>
    <w:rsid w:val="083714A9"/>
    <w:rsid w:val="0E0A289A"/>
    <w:rsid w:val="0F4C2412"/>
    <w:rsid w:val="13436587"/>
    <w:rsid w:val="147C3D00"/>
    <w:rsid w:val="14DF5281"/>
    <w:rsid w:val="15BF427A"/>
    <w:rsid w:val="1D3D77A3"/>
    <w:rsid w:val="217B3F7E"/>
    <w:rsid w:val="260D24A3"/>
    <w:rsid w:val="2FB110AD"/>
    <w:rsid w:val="2FBF34B1"/>
    <w:rsid w:val="324D179D"/>
    <w:rsid w:val="34B151E1"/>
    <w:rsid w:val="35FF0B2E"/>
    <w:rsid w:val="36E259EE"/>
    <w:rsid w:val="38CA1CD6"/>
    <w:rsid w:val="39A37F53"/>
    <w:rsid w:val="3AC21A5F"/>
    <w:rsid w:val="3DFD020D"/>
    <w:rsid w:val="3ED3684A"/>
    <w:rsid w:val="3FA532F5"/>
    <w:rsid w:val="454D3758"/>
    <w:rsid w:val="48A113DF"/>
    <w:rsid w:val="48BE6CE7"/>
    <w:rsid w:val="4C580F55"/>
    <w:rsid w:val="4DB638AB"/>
    <w:rsid w:val="50480B03"/>
    <w:rsid w:val="5161509F"/>
    <w:rsid w:val="52242A30"/>
    <w:rsid w:val="57C80DF8"/>
    <w:rsid w:val="5A867B53"/>
    <w:rsid w:val="692A4DCE"/>
    <w:rsid w:val="6BA918F3"/>
    <w:rsid w:val="6BE7241B"/>
    <w:rsid w:val="6EAE7D8F"/>
    <w:rsid w:val="6FF1278F"/>
    <w:rsid w:val="70191D85"/>
    <w:rsid w:val="72DA054F"/>
    <w:rsid w:val="735E56B1"/>
    <w:rsid w:val="7B104645"/>
    <w:rsid w:val="7CB261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pageBreakBefore/>
      <w:widowControl w:val="0"/>
      <w:numPr>
        <w:ilvl w:val="0"/>
        <w:numId w:val="1"/>
      </w:numPr>
      <w:jc w:val="center"/>
      <w:outlineLvl w:val="0"/>
    </w:pPr>
    <w:rPr>
      <w:rFonts w:ascii="??_GB2312" w:hAnsi="Times New Roman" w:eastAsia="Times New Roman" w:cs="Times New Roman"/>
      <w:b/>
      <w:bCs/>
      <w:kern w:val="44"/>
      <w:sz w:val="44"/>
      <w:szCs w:val="4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Body Text First Indent"/>
    <w:basedOn w:val="3"/>
    <w:qFormat/>
    <w:uiPriority w:val="0"/>
    <w:pPr>
      <w:spacing w:after="120"/>
      <w:ind w:firstLine="420" w:firstLineChars="100"/>
    </w:pPr>
    <w:rPr>
      <w:sz w:val="2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Theme="minorHAnsi" w:hAnsiTheme="minorHAnsi" w:eastAsiaTheme="minorEastAsia" w:cstheme="minorBidi"/>
      <w:kern w:val="2"/>
      <w:sz w:val="18"/>
      <w:szCs w:val="18"/>
    </w:rPr>
  </w:style>
  <w:style w:type="character" w:customStyle="1" w:styleId="10">
    <w:name w:val="页脚 Char"/>
    <w:basedOn w:val="8"/>
    <w:link w:val="5"/>
    <w:qFormat/>
    <w:uiPriority w:val="0"/>
    <w:rPr>
      <w:rFonts w:asciiTheme="minorHAnsi" w:hAnsiTheme="minorHAnsi" w:eastAsiaTheme="minorEastAsia" w:cstheme="minorBidi"/>
      <w:kern w:val="2"/>
      <w:sz w:val="18"/>
      <w:szCs w:val="18"/>
    </w:rPr>
  </w:style>
  <w:style w:type="paragraph" w:styleId="11">
    <w:name w:val="List Paragraph"/>
    <w:basedOn w:val="1"/>
    <w:unhideWhenUsed/>
    <w:qFormat/>
    <w:uiPriority w:val="99"/>
    <w:pPr>
      <w:ind w:firstLine="420" w:firstLineChars="200"/>
    </w:pPr>
  </w:style>
  <w:style w:type="paragraph" w:customStyle="1" w:styleId="12">
    <w:name w:val="Char"/>
    <w:basedOn w:val="1"/>
    <w:qFormat/>
    <w:uiPriority w:val="0"/>
    <w:rPr>
      <w:rFonts w:ascii="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1775</Words>
  <Characters>1827</Characters>
  <Lines>8</Lines>
  <Paragraphs>2</Paragraphs>
  <TotalTime>1</TotalTime>
  <ScaleCrop>false</ScaleCrop>
  <LinksUpToDate>false</LinksUpToDate>
  <CharactersWithSpaces>1866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Administrator.BF-20200630BKQY</dc:creator>
  <cp:lastModifiedBy>Znnan</cp:lastModifiedBy>
  <cp:lastPrinted>2021-03-02T07:04:00Z</cp:lastPrinted>
  <dcterms:modified xsi:type="dcterms:W3CDTF">2023-01-04T01:09:17Z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AD0CC268909B4872B3CDAB53B5B7BEB1</vt:lpwstr>
  </property>
</Properties>
</file>